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3E1" w:rsidRPr="009E53E1" w:rsidRDefault="009E53E1" w:rsidP="00E67725">
      <w:pPr>
        <w:ind w:left="4956" w:firstLine="708"/>
        <w:rPr>
          <w:rFonts w:ascii="Century Gothic" w:eastAsia="Arial Unicode MS" w:hAnsi="Century Gothic" w:cs="Tunga"/>
          <w:sz w:val="40"/>
          <w:szCs w:val="40"/>
        </w:rPr>
      </w:pPr>
    </w:p>
    <w:p w:rsidR="0049712D" w:rsidRPr="007A74F2" w:rsidRDefault="0049712D" w:rsidP="00F15184">
      <w:pPr>
        <w:ind w:left="4678"/>
        <w:jc w:val="both"/>
        <w:rPr>
          <w:b/>
          <w:sz w:val="24"/>
          <w:lang w:val="fr-FR"/>
        </w:rPr>
      </w:pPr>
    </w:p>
    <w:p w:rsidR="0049712D" w:rsidRPr="007A74F2" w:rsidRDefault="004B1042" w:rsidP="00F15184">
      <w:pPr>
        <w:pStyle w:val="1adresse"/>
        <w:ind w:firstLine="992"/>
        <w:jc w:val="both"/>
        <w:rPr>
          <w:rFonts w:ascii="Arial" w:hAnsi="Arial" w:cs="Arial"/>
          <w:b/>
          <w:sz w:val="32"/>
          <w:szCs w:val="32"/>
          <w:lang w:val="fr-FR"/>
        </w:rPr>
      </w:pPr>
      <w:r w:rsidRPr="007A74F2">
        <w:rPr>
          <w:rFonts w:ascii="Arial" w:hAnsi="Arial" w:cs="Arial"/>
          <w:b/>
          <w:sz w:val="32"/>
          <w:szCs w:val="32"/>
          <w:lang w:val="fr-FR"/>
        </w:rPr>
        <w:t>INSTAFLEX®</w:t>
      </w:r>
    </w:p>
    <w:p w:rsidR="00AC40B9" w:rsidRDefault="00AC40B9" w:rsidP="00F15184">
      <w:pPr>
        <w:pStyle w:val="1adresse"/>
        <w:ind w:firstLine="992"/>
        <w:jc w:val="both"/>
      </w:pPr>
    </w:p>
    <w:p w:rsidR="0049712D" w:rsidRDefault="00E67725" w:rsidP="00E67725">
      <w:pPr>
        <w:pStyle w:val="1adresse"/>
        <w:ind w:left="4956"/>
        <w:jc w:val="both"/>
        <w:rPr>
          <w:b/>
          <w:smallCaps/>
        </w:rPr>
      </w:pPr>
      <w:r>
        <w:rPr>
          <w:rFonts w:ascii="Century Gothic" w:eastAsia="Arial Unicode MS" w:hAnsi="Century Gothic" w:cs="Tunga"/>
          <w:noProof/>
          <w:sz w:val="40"/>
          <w:szCs w:val="40"/>
          <w:lang w:val="fr-FR"/>
        </w:rPr>
        <w:drawing>
          <wp:inline distT="0" distB="0" distL="0" distR="0" wp14:anchorId="1CE30B22" wp14:editId="4D2EC642">
            <wp:extent cx="1093470" cy="781050"/>
            <wp:effectExtent l="38100" t="57150" r="30480" b="571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b560x4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84986">
                      <a:off x="0" y="0"/>
                      <a:ext cx="1094946" cy="78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12D" w:rsidRDefault="0049712D" w:rsidP="00F15184">
      <w:pPr>
        <w:jc w:val="both"/>
        <w:rPr>
          <w:smallCaps/>
          <w:sz w:val="24"/>
        </w:rPr>
      </w:pPr>
    </w:p>
    <w:p w:rsidR="00AC40B9" w:rsidRDefault="00AC40B9" w:rsidP="00F15184">
      <w:pPr>
        <w:jc w:val="both"/>
      </w:pPr>
      <w:bookmarkStart w:id="0" w:name="_GoBack"/>
      <w:bookmarkEnd w:id="0"/>
    </w:p>
    <w:p w:rsidR="0049712D" w:rsidRDefault="00AC40B9" w:rsidP="0022001F">
      <w:pPr>
        <w:tabs>
          <w:tab w:val="left" w:pos="7371"/>
        </w:tabs>
        <w:ind w:left="851" w:right="1134"/>
        <w:jc w:val="both"/>
        <w:rPr>
          <w:rFonts w:ascii="Arial" w:hAnsi="Arial" w:cs="Arial"/>
          <w:b/>
          <w:i/>
          <w:sz w:val="24"/>
          <w:szCs w:val="24"/>
        </w:rPr>
      </w:pPr>
      <w:r w:rsidRPr="0022001F">
        <w:rPr>
          <w:rFonts w:ascii="Arial" w:hAnsi="Arial" w:cs="Arial"/>
          <w:b/>
          <w:i/>
          <w:sz w:val="24"/>
          <w:szCs w:val="24"/>
        </w:rPr>
        <w:t xml:space="preserve">DESCRIPTIF TYPE POUR </w:t>
      </w:r>
      <w:smartTag w:uri="urn:schemas-microsoft-com:office:smarttags" w:element="PersonName">
        <w:smartTagPr>
          <w:attr w:name="ProductID" w:val="LA DISTRIBUTION D"/>
        </w:smartTagPr>
        <w:r w:rsidRPr="0022001F">
          <w:rPr>
            <w:rFonts w:ascii="Arial" w:hAnsi="Arial" w:cs="Arial"/>
            <w:b/>
            <w:i/>
            <w:sz w:val="24"/>
            <w:szCs w:val="24"/>
          </w:rPr>
          <w:t xml:space="preserve">LA DISTRIBUTION </w:t>
        </w:r>
        <w:r w:rsidR="00E90D53" w:rsidRPr="0022001F">
          <w:rPr>
            <w:rFonts w:ascii="Arial" w:hAnsi="Arial" w:cs="Arial"/>
            <w:b/>
            <w:i/>
            <w:sz w:val="24"/>
            <w:szCs w:val="24"/>
          </w:rPr>
          <w:t>D</w:t>
        </w:r>
      </w:smartTag>
      <w:r w:rsidR="00E90D53" w:rsidRPr="0022001F">
        <w:rPr>
          <w:rFonts w:ascii="Arial" w:hAnsi="Arial" w:cs="Arial"/>
          <w:b/>
          <w:i/>
          <w:sz w:val="24"/>
          <w:szCs w:val="24"/>
        </w:rPr>
        <w:t>’EAU</w:t>
      </w:r>
      <w:r w:rsidR="00C17DCC" w:rsidRPr="0022001F">
        <w:rPr>
          <w:rFonts w:ascii="Arial" w:hAnsi="Arial" w:cs="Arial"/>
          <w:b/>
          <w:i/>
          <w:sz w:val="24"/>
          <w:szCs w:val="24"/>
        </w:rPr>
        <w:t xml:space="preserve"> </w:t>
      </w:r>
      <w:r w:rsidRPr="0022001F">
        <w:rPr>
          <w:rFonts w:ascii="Arial" w:hAnsi="Arial" w:cs="Arial"/>
          <w:b/>
          <w:i/>
          <w:sz w:val="24"/>
          <w:szCs w:val="24"/>
        </w:rPr>
        <w:t>CHAUD</w:t>
      </w:r>
      <w:r w:rsidR="00961A80" w:rsidRPr="0022001F">
        <w:rPr>
          <w:rFonts w:ascii="Arial" w:hAnsi="Arial" w:cs="Arial"/>
          <w:b/>
          <w:i/>
          <w:sz w:val="24"/>
          <w:szCs w:val="24"/>
        </w:rPr>
        <w:t xml:space="preserve">E ET </w:t>
      </w:r>
      <w:r w:rsidR="00E90D53" w:rsidRPr="0022001F">
        <w:rPr>
          <w:rFonts w:ascii="Arial" w:hAnsi="Arial" w:cs="Arial"/>
          <w:b/>
          <w:i/>
          <w:sz w:val="24"/>
          <w:szCs w:val="24"/>
        </w:rPr>
        <w:t>D’EAU</w:t>
      </w:r>
      <w:r w:rsidR="00961A80" w:rsidRPr="0022001F">
        <w:rPr>
          <w:rFonts w:ascii="Arial" w:hAnsi="Arial" w:cs="Arial"/>
          <w:b/>
          <w:i/>
          <w:sz w:val="24"/>
          <w:szCs w:val="24"/>
        </w:rPr>
        <w:t xml:space="preserve"> FROIDE </w:t>
      </w:r>
      <w:r w:rsidR="007F14F3" w:rsidRPr="0022001F">
        <w:rPr>
          <w:rFonts w:ascii="Arial" w:hAnsi="Arial" w:cs="Arial"/>
          <w:b/>
          <w:i/>
          <w:sz w:val="24"/>
          <w:szCs w:val="24"/>
        </w:rPr>
        <w:t xml:space="preserve">SANITAIRE </w:t>
      </w:r>
      <w:r w:rsidR="00961A80" w:rsidRPr="0022001F">
        <w:rPr>
          <w:rFonts w:ascii="Arial" w:hAnsi="Arial" w:cs="Arial"/>
          <w:b/>
          <w:i/>
          <w:sz w:val="24"/>
          <w:szCs w:val="24"/>
        </w:rPr>
        <w:t>EN MATIERE</w:t>
      </w:r>
      <w:r w:rsidR="00C17DCC" w:rsidRPr="0022001F">
        <w:rPr>
          <w:rFonts w:ascii="Arial" w:hAnsi="Arial" w:cs="Arial"/>
          <w:b/>
          <w:i/>
          <w:sz w:val="24"/>
          <w:szCs w:val="24"/>
        </w:rPr>
        <w:t xml:space="preserve"> POLYBUTENE.</w:t>
      </w:r>
    </w:p>
    <w:p w:rsidR="00ED12EE" w:rsidRDefault="00ED12EE" w:rsidP="0022001F">
      <w:pPr>
        <w:tabs>
          <w:tab w:val="left" w:pos="7371"/>
        </w:tabs>
        <w:ind w:left="851" w:right="1134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CHAUFFAGE BASSE ET HAUTE TEMPERATURE.</w:t>
      </w:r>
    </w:p>
    <w:p w:rsidR="00ED12EE" w:rsidRPr="0022001F" w:rsidRDefault="00ED12EE" w:rsidP="0022001F">
      <w:pPr>
        <w:tabs>
          <w:tab w:val="left" w:pos="7371"/>
        </w:tabs>
        <w:ind w:left="851" w:right="1134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HVAC CLIMATISATION</w:t>
      </w:r>
    </w:p>
    <w:p w:rsidR="0049712D" w:rsidRDefault="0049712D" w:rsidP="00F15184">
      <w:pPr>
        <w:jc w:val="both"/>
      </w:pPr>
    </w:p>
    <w:p w:rsidR="0049712D" w:rsidRDefault="0049712D" w:rsidP="00F15184">
      <w:pPr>
        <w:jc w:val="both"/>
      </w:pPr>
    </w:p>
    <w:p w:rsidR="0049712D" w:rsidRPr="00C17DCC" w:rsidRDefault="0049712D" w:rsidP="00F15184">
      <w:pPr>
        <w:pStyle w:val="1objet"/>
        <w:ind w:left="0"/>
        <w:jc w:val="both"/>
        <w:rPr>
          <w:rFonts w:ascii="Arial" w:hAnsi="Arial" w:cs="Arial"/>
          <w:b w:val="0"/>
        </w:rPr>
      </w:pPr>
    </w:p>
    <w:p w:rsidR="00932CA8" w:rsidRDefault="00961A80" w:rsidP="00F15184">
      <w:pPr>
        <w:pStyle w:val="1objet"/>
        <w:spacing w:line="360" w:lineRule="auto"/>
        <w:ind w:left="0"/>
        <w:jc w:val="both"/>
        <w:rPr>
          <w:rFonts w:ascii="Arial" w:hAnsi="Arial" w:cs="Arial"/>
          <w:b w:val="0"/>
          <w:lang w:val="fr-FR"/>
        </w:rPr>
      </w:pPr>
      <w:r w:rsidRPr="00C17DCC">
        <w:rPr>
          <w:rFonts w:ascii="Arial" w:hAnsi="Arial" w:cs="Arial"/>
          <w:b w:val="0"/>
        </w:rPr>
        <w:t>Les installations de</w:t>
      </w:r>
      <w:r w:rsidR="00A42874">
        <w:rPr>
          <w:rFonts w:ascii="Arial" w:hAnsi="Arial" w:cs="Arial"/>
          <w:b w:val="0"/>
        </w:rPr>
        <w:t>s</w:t>
      </w:r>
      <w:r w:rsidRPr="00C17DCC">
        <w:rPr>
          <w:rFonts w:ascii="Arial" w:hAnsi="Arial" w:cs="Arial"/>
          <w:b w:val="0"/>
        </w:rPr>
        <w:t xml:space="preserve"> réseaux et colonnes montantes seront réalisées à l’aide du système complet de canalisations et raccords </w:t>
      </w:r>
      <w:r w:rsidR="006A4DBD" w:rsidRPr="00C17DCC">
        <w:rPr>
          <w:rFonts w:ascii="Arial" w:hAnsi="Arial" w:cs="Arial"/>
          <w:b w:val="0"/>
        </w:rPr>
        <w:t xml:space="preserve">en </w:t>
      </w:r>
      <w:proofErr w:type="spellStart"/>
      <w:r w:rsidR="006A4DBD" w:rsidRPr="00C17DCC">
        <w:rPr>
          <w:rFonts w:ascii="Arial" w:hAnsi="Arial" w:cs="Arial"/>
          <w:b w:val="0"/>
        </w:rPr>
        <w:t>polyb</w:t>
      </w:r>
      <w:r w:rsidR="00FB0330">
        <w:rPr>
          <w:rFonts w:ascii="Arial" w:hAnsi="Arial" w:cs="Arial"/>
          <w:b w:val="0"/>
        </w:rPr>
        <w:t>ute</w:t>
      </w:r>
      <w:r w:rsidR="006A4DBD" w:rsidRPr="00C17DCC">
        <w:rPr>
          <w:rFonts w:ascii="Arial" w:hAnsi="Arial" w:cs="Arial"/>
          <w:b w:val="0"/>
        </w:rPr>
        <w:t>ne</w:t>
      </w:r>
      <w:proofErr w:type="spellEnd"/>
      <w:r w:rsidR="00F05A86">
        <w:rPr>
          <w:rFonts w:ascii="Arial" w:hAnsi="Arial" w:cs="Arial"/>
          <w:b w:val="0"/>
        </w:rPr>
        <w:t xml:space="preserve">, </w:t>
      </w:r>
      <w:r w:rsidR="00F05A86" w:rsidRPr="00F05A86">
        <w:rPr>
          <w:rFonts w:ascii="Arial" w:hAnsi="Arial" w:cs="Arial"/>
        </w:rPr>
        <w:t>gamme I</w:t>
      </w:r>
      <w:r w:rsidR="00D41876">
        <w:rPr>
          <w:rFonts w:ascii="Arial" w:hAnsi="Arial" w:cs="Arial"/>
        </w:rPr>
        <w:t>NSTAFLEX</w:t>
      </w:r>
      <w:r w:rsidR="00946FE3">
        <w:rPr>
          <w:rFonts w:ascii="Arial" w:hAnsi="Arial" w:cs="Arial"/>
        </w:rPr>
        <w:t>®</w:t>
      </w:r>
      <w:r w:rsidR="00F05A86" w:rsidRPr="00F05A86">
        <w:rPr>
          <w:rFonts w:ascii="Arial" w:hAnsi="Arial" w:cs="Arial"/>
        </w:rPr>
        <w:t xml:space="preserve"> de chez</w:t>
      </w:r>
      <w:r w:rsidR="001A1448" w:rsidRPr="00F05A86">
        <w:rPr>
          <w:rFonts w:ascii="Arial" w:hAnsi="Arial" w:cs="Arial"/>
        </w:rPr>
        <w:t xml:space="preserve"> GEORG FISCHER ou équivalent</w:t>
      </w:r>
      <w:r w:rsidR="0036210C">
        <w:rPr>
          <w:rFonts w:ascii="Arial" w:hAnsi="Arial" w:cs="Arial"/>
        </w:rPr>
        <w:t xml:space="preserve">, </w:t>
      </w:r>
      <w:r w:rsidR="001A1448">
        <w:rPr>
          <w:rFonts w:ascii="Arial" w:hAnsi="Arial" w:cs="Arial"/>
          <w:b w:val="0"/>
        </w:rPr>
        <w:t xml:space="preserve">soudables par </w:t>
      </w:r>
      <w:proofErr w:type="spellStart"/>
      <w:r w:rsidR="000C34D2">
        <w:rPr>
          <w:rFonts w:ascii="Arial" w:hAnsi="Arial" w:cs="Arial"/>
          <w:b w:val="0"/>
        </w:rPr>
        <w:t>electro</w:t>
      </w:r>
      <w:proofErr w:type="spellEnd"/>
      <w:r w:rsidR="000C34D2">
        <w:rPr>
          <w:rFonts w:ascii="Arial" w:hAnsi="Arial" w:cs="Arial"/>
          <w:b w:val="0"/>
        </w:rPr>
        <w:t>-</w:t>
      </w:r>
      <w:r w:rsidR="001A1448">
        <w:rPr>
          <w:rFonts w:ascii="Arial" w:hAnsi="Arial" w:cs="Arial"/>
          <w:b w:val="0"/>
        </w:rPr>
        <w:t>fus</w:t>
      </w:r>
      <w:r w:rsidR="001170CF">
        <w:rPr>
          <w:rFonts w:ascii="Arial" w:hAnsi="Arial" w:cs="Arial"/>
          <w:b w:val="0"/>
        </w:rPr>
        <w:t>ion</w:t>
      </w:r>
      <w:r w:rsidR="006A4DBD" w:rsidRPr="00C17DCC">
        <w:rPr>
          <w:rFonts w:ascii="Arial" w:hAnsi="Arial" w:cs="Arial"/>
          <w:b w:val="0"/>
        </w:rPr>
        <w:t>,</w:t>
      </w:r>
      <w:r w:rsidR="00AC64F7" w:rsidRPr="00C17DCC">
        <w:rPr>
          <w:rFonts w:ascii="Arial" w:hAnsi="Arial" w:cs="Arial"/>
          <w:b w:val="0"/>
        </w:rPr>
        <w:t xml:space="preserve"> </w:t>
      </w:r>
      <w:r w:rsidR="00FC7D43">
        <w:rPr>
          <w:rFonts w:ascii="Arial" w:hAnsi="Arial" w:cs="Arial"/>
          <w:b w:val="0"/>
        </w:rPr>
        <w:t>bénéficiant </w:t>
      </w:r>
      <w:r w:rsidR="006A4DBD" w:rsidRPr="00C17DCC">
        <w:rPr>
          <w:rFonts w:ascii="Arial" w:hAnsi="Arial" w:cs="Arial"/>
          <w:b w:val="0"/>
        </w:rPr>
        <w:t>d’un avi</w:t>
      </w:r>
      <w:r w:rsidR="00C17DCC" w:rsidRPr="00C17DCC">
        <w:rPr>
          <w:rFonts w:ascii="Arial" w:hAnsi="Arial" w:cs="Arial"/>
          <w:b w:val="0"/>
        </w:rPr>
        <w:t xml:space="preserve">s technique CSTB </w:t>
      </w:r>
      <w:r w:rsidR="008C47DF" w:rsidRPr="008C47DF">
        <w:rPr>
          <w:rFonts w:ascii="Arial" w:hAnsi="Arial" w:cs="Arial"/>
          <w:b w:val="0"/>
        </w:rPr>
        <w:t>14/07-1177</w:t>
      </w:r>
      <w:r w:rsidR="00C17DCC" w:rsidRPr="00C17DCC">
        <w:rPr>
          <w:rFonts w:ascii="Arial" w:hAnsi="Arial" w:cs="Arial"/>
          <w:b w:val="0"/>
        </w:rPr>
        <w:t>.</w:t>
      </w:r>
      <w:r w:rsidR="00FC7D43" w:rsidRPr="00C17DCC">
        <w:rPr>
          <w:rFonts w:ascii="Arial" w:hAnsi="Arial" w:cs="Arial"/>
          <w:b w:val="0"/>
          <w:lang w:val="fr-FR"/>
        </w:rPr>
        <w:t>0</w:t>
      </w:r>
      <w:r w:rsidR="00FC7D43">
        <w:rPr>
          <w:rFonts w:ascii="Arial" w:hAnsi="Arial" w:cs="Arial"/>
          <w:b w:val="0"/>
          <w:lang w:val="fr-FR"/>
        </w:rPr>
        <w:t xml:space="preserve"> </w:t>
      </w:r>
      <w:r w:rsidR="00FC7D43">
        <w:rPr>
          <w:rFonts w:ascii="Arial" w:hAnsi="Arial" w:cs="Arial"/>
          <w:b w:val="0"/>
        </w:rPr>
        <w:t>classe 2, 4 et 5</w:t>
      </w:r>
      <w:r w:rsidR="00C302C6">
        <w:rPr>
          <w:rFonts w:ascii="Arial" w:hAnsi="Arial" w:cs="Arial"/>
          <w:b w:val="0"/>
          <w:lang w:val="fr-FR"/>
        </w:rPr>
        <w:t>.</w:t>
      </w:r>
      <w:r w:rsidR="0036210C">
        <w:rPr>
          <w:rFonts w:ascii="Arial" w:hAnsi="Arial" w:cs="Arial"/>
          <w:b w:val="0"/>
          <w:lang w:val="fr-FR"/>
        </w:rPr>
        <w:t xml:space="preserve"> Le système </w:t>
      </w:r>
      <w:proofErr w:type="gramStart"/>
      <w:r w:rsidR="0036210C">
        <w:rPr>
          <w:rFonts w:ascii="Arial" w:hAnsi="Arial" w:cs="Arial"/>
          <w:b w:val="0"/>
          <w:lang w:val="fr-FR"/>
        </w:rPr>
        <w:t>devra</w:t>
      </w:r>
      <w:proofErr w:type="gramEnd"/>
      <w:r w:rsidR="0036210C">
        <w:rPr>
          <w:rFonts w:ascii="Arial" w:hAnsi="Arial" w:cs="Arial"/>
          <w:b w:val="0"/>
          <w:lang w:val="fr-FR"/>
        </w:rPr>
        <w:t xml:space="preserve"> également être certifié</w:t>
      </w:r>
      <w:r w:rsidR="00FC7D43">
        <w:rPr>
          <w:rFonts w:ascii="Arial" w:hAnsi="Arial" w:cs="Arial"/>
          <w:b w:val="0"/>
          <w:lang w:val="fr-FR"/>
        </w:rPr>
        <w:t xml:space="preserve"> ACS (</w:t>
      </w:r>
      <w:r w:rsidR="000F45BD">
        <w:rPr>
          <w:rFonts w:ascii="Arial" w:hAnsi="Arial" w:cs="Arial"/>
          <w:b w:val="0"/>
          <w:lang w:val="fr-FR"/>
        </w:rPr>
        <w:t>Attestation de C</w:t>
      </w:r>
      <w:r w:rsidR="00FC7D43">
        <w:rPr>
          <w:rFonts w:ascii="Arial" w:hAnsi="Arial" w:cs="Arial"/>
          <w:b w:val="0"/>
          <w:lang w:val="fr-FR"/>
        </w:rPr>
        <w:t>o</w:t>
      </w:r>
      <w:r w:rsidR="000F45BD">
        <w:rPr>
          <w:rFonts w:ascii="Arial" w:hAnsi="Arial" w:cs="Arial"/>
          <w:b w:val="0"/>
          <w:lang w:val="fr-FR"/>
        </w:rPr>
        <w:t>nformité S</w:t>
      </w:r>
      <w:r w:rsidR="00FC7D43">
        <w:rPr>
          <w:rFonts w:ascii="Arial" w:hAnsi="Arial" w:cs="Arial"/>
          <w:b w:val="0"/>
          <w:lang w:val="fr-FR"/>
        </w:rPr>
        <w:t>anitaire)</w:t>
      </w:r>
    </w:p>
    <w:p w:rsidR="001170CF" w:rsidRDefault="00932CA8" w:rsidP="00F15184">
      <w:pPr>
        <w:pStyle w:val="1objet"/>
        <w:spacing w:line="360" w:lineRule="auto"/>
        <w:ind w:left="0"/>
        <w:jc w:val="both"/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b w:val="0"/>
          <w:lang w:val="fr-FR"/>
        </w:rPr>
        <w:t xml:space="preserve">Les caractéristiques techniques du </w:t>
      </w:r>
      <w:proofErr w:type="spellStart"/>
      <w:r>
        <w:rPr>
          <w:rFonts w:ascii="Arial" w:hAnsi="Arial" w:cs="Arial"/>
          <w:b w:val="0"/>
          <w:lang w:val="fr-FR"/>
        </w:rPr>
        <w:t>polybutene</w:t>
      </w:r>
      <w:proofErr w:type="spellEnd"/>
      <w:r w:rsidR="001170CF">
        <w:rPr>
          <w:rFonts w:ascii="Arial" w:hAnsi="Arial" w:cs="Arial"/>
          <w:b w:val="0"/>
          <w:lang w:val="fr-FR"/>
        </w:rPr>
        <w:t xml:space="preserve"> </w:t>
      </w:r>
      <w:r w:rsidR="00E45507">
        <w:rPr>
          <w:rFonts w:ascii="Arial" w:hAnsi="Arial" w:cs="Arial"/>
          <w:b w:val="0"/>
          <w:lang w:val="fr-FR"/>
        </w:rPr>
        <w:t>seront</w:t>
      </w:r>
      <w:r>
        <w:rPr>
          <w:rFonts w:ascii="Arial" w:hAnsi="Arial" w:cs="Arial"/>
          <w:b w:val="0"/>
          <w:lang w:val="fr-FR"/>
        </w:rPr>
        <w:t xml:space="preserve"> équivalentes aux données suivantes : </w:t>
      </w:r>
    </w:p>
    <w:p w:rsidR="00E45507" w:rsidRDefault="00E45507" w:rsidP="00932CA8">
      <w:pPr>
        <w:pStyle w:val="1objet"/>
        <w:spacing w:line="360" w:lineRule="auto"/>
        <w:ind w:left="0" w:firstLine="708"/>
        <w:jc w:val="both"/>
        <w:rPr>
          <w:rFonts w:ascii="Arial" w:hAnsi="Arial" w:cs="Arial"/>
          <w:b w:val="0"/>
          <w:lang w:val="fr-FR"/>
        </w:rPr>
      </w:pPr>
    </w:p>
    <w:p w:rsidR="00932CA8" w:rsidRPr="00932CA8" w:rsidRDefault="00932CA8" w:rsidP="00932CA8">
      <w:pPr>
        <w:pStyle w:val="1objet"/>
        <w:spacing w:line="360" w:lineRule="auto"/>
        <w:ind w:left="0" w:firstLine="708"/>
        <w:jc w:val="both"/>
        <w:rPr>
          <w:rFonts w:ascii="Arial" w:hAnsi="Arial" w:cs="Arial"/>
          <w:b w:val="0"/>
          <w:lang w:val="fr-FR"/>
        </w:rPr>
      </w:pPr>
      <w:r w:rsidRPr="00932CA8">
        <w:rPr>
          <w:rFonts w:ascii="Arial" w:hAnsi="Arial" w:cs="Arial"/>
          <w:b w:val="0"/>
          <w:lang w:val="fr-FR"/>
        </w:rPr>
        <w:t>-</w:t>
      </w:r>
      <w:r w:rsidR="00106F35">
        <w:rPr>
          <w:rFonts w:ascii="Arial" w:hAnsi="Arial" w:cs="Arial"/>
          <w:b w:val="0"/>
          <w:lang w:val="fr-FR"/>
        </w:rPr>
        <w:t>c</w:t>
      </w:r>
      <w:r w:rsidRPr="00932CA8">
        <w:rPr>
          <w:rFonts w:ascii="Arial" w:hAnsi="Arial" w:cs="Arial"/>
          <w:b w:val="0"/>
          <w:lang w:val="fr-FR"/>
        </w:rPr>
        <w:t xml:space="preserve">oefficient de conductivité thermique </w:t>
      </w:r>
      <w:r w:rsidRPr="00932CA8">
        <w:rPr>
          <w:rFonts w:ascii="Arial" w:hAnsi="Arial" w:cs="Arial"/>
          <w:lang w:val="fr-FR"/>
        </w:rPr>
        <w:t>λ = 0,22W/</w:t>
      </w:r>
      <w:proofErr w:type="spellStart"/>
      <w:r w:rsidRPr="00932CA8">
        <w:rPr>
          <w:rFonts w:ascii="Arial" w:hAnsi="Arial" w:cs="Arial"/>
          <w:lang w:val="fr-FR"/>
        </w:rPr>
        <w:t>mK</w:t>
      </w:r>
      <w:proofErr w:type="spellEnd"/>
    </w:p>
    <w:p w:rsidR="00932CA8" w:rsidRDefault="00932CA8" w:rsidP="00932CA8">
      <w:pPr>
        <w:pStyle w:val="1objet"/>
        <w:spacing w:line="360" w:lineRule="auto"/>
        <w:ind w:left="0" w:firstLine="708"/>
        <w:jc w:val="both"/>
        <w:rPr>
          <w:rFonts w:ascii="Arial" w:hAnsi="Arial" w:cs="Arial"/>
          <w:lang w:val="fr-FR"/>
        </w:rPr>
      </w:pPr>
      <w:r w:rsidRPr="00932CA8">
        <w:rPr>
          <w:rFonts w:ascii="Arial" w:hAnsi="Arial" w:cs="Arial"/>
          <w:b w:val="0"/>
          <w:lang w:val="fr-FR"/>
        </w:rPr>
        <w:t>-</w:t>
      </w:r>
      <w:r w:rsidR="00106F35">
        <w:rPr>
          <w:rFonts w:ascii="Arial" w:hAnsi="Arial" w:cs="Arial"/>
          <w:b w:val="0"/>
          <w:lang w:val="fr-FR"/>
        </w:rPr>
        <w:t>c</w:t>
      </w:r>
      <w:r w:rsidRPr="00932CA8">
        <w:rPr>
          <w:rFonts w:ascii="Arial" w:hAnsi="Arial" w:cs="Arial"/>
          <w:b w:val="0"/>
          <w:lang w:val="fr-FR"/>
        </w:rPr>
        <w:t>oefficient de dilatation linéaire</w:t>
      </w:r>
      <w:r>
        <w:rPr>
          <w:rFonts w:ascii="Arial" w:hAnsi="Arial" w:cs="Arial"/>
          <w:b w:val="0"/>
          <w:lang w:val="fr-FR"/>
        </w:rPr>
        <w:t xml:space="preserve"> : </w:t>
      </w:r>
      <w:r w:rsidR="00106F35" w:rsidRPr="00106F35">
        <w:rPr>
          <w:rFonts w:ascii="Arial" w:hAnsi="Arial" w:cs="Arial"/>
          <w:lang w:val="fr-FR"/>
        </w:rPr>
        <w:t>α = 0,13mm/</w:t>
      </w:r>
      <w:proofErr w:type="spellStart"/>
      <w:r w:rsidR="00106F35" w:rsidRPr="00106F35">
        <w:rPr>
          <w:rFonts w:ascii="Arial" w:hAnsi="Arial" w:cs="Arial"/>
          <w:lang w:val="fr-FR"/>
        </w:rPr>
        <w:t>mK</w:t>
      </w:r>
      <w:proofErr w:type="spellEnd"/>
    </w:p>
    <w:p w:rsidR="00106F35" w:rsidRDefault="00106F35" w:rsidP="00932CA8">
      <w:pPr>
        <w:pStyle w:val="1objet"/>
        <w:spacing w:line="360" w:lineRule="auto"/>
        <w:ind w:left="0" w:firstLine="708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b w:val="0"/>
          <w:lang w:val="fr-FR"/>
        </w:rPr>
        <w:t xml:space="preserve">-force de dilatation linéaire (module d’élasticité) : </w:t>
      </w:r>
      <w:r w:rsidRPr="00106F35">
        <w:rPr>
          <w:rFonts w:ascii="Arial" w:hAnsi="Arial" w:cs="Arial"/>
          <w:lang w:val="fr-FR"/>
        </w:rPr>
        <w:t>E = 350</w:t>
      </w:r>
      <w:r w:rsidR="000E6975">
        <w:rPr>
          <w:rFonts w:ascii="Arial" w:hAnsi="Arial" w:cs="Arial"/>
          <w:lang w:val="fr-FR"/>
        </w:rPr>
        <w:t>N/mm²</w:t>
      </w:r>
    </w:p>
    <w:p w:rsidR="0036210C" w:rsidRPr="00E45507" w:rsidRDefault="0036210C" w:rsidP="00E45507">
      <w:pPr>
        <w:pStyle w:val="1objet"/>
        <w:spacing w:line="360" w:lineRule="auto"/>
        <w:ind w:left="709"/>
        <w:jc w:val="both"/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lang w:val="fr-FR"/>
        </w:rPr>
        <w:t>-</w:t>
      </w:r>
      <w:r w:rsidRPr="0036210C">
        <w:rPr>
          <w:rFonts w:ascii="Arial" w:hAnsi="Arial" w:cs="Arial"/>
          <w:b w:val="0"/>
          <w:lang w:val="fr-FR"/>
        </w:rPr>
        <w:t>tenue pression/température</w:t>
      </w:r>
      <w:r>
        <w:rPr>
          <w:rFonts w:ascii="Arial" w:hAnsi="Arial" w:cs="Arial"/>
          <w:b w:val="0"/>
          <w:lang w:val="fr-FR"/>
        </w:rPr>
        <w:t xml:space="preserve"> </w:t>
      </w:r>
      <w:r w:rsidRPr="0036210C">
        <w:rPr>
          <w:rFonts w:ascii="Arial" w:hAnsi="Arial" w:cs="Arial"/>
          <w:lang w:val="fr-FR"/>
        </w:rPr>
        <w:t>PN16</w:t>
      </w:r>
      <w:r w:rsidR="00E45507">
        <w:rPr>
          <w:rFonts w:ascii="Arial" w:hAnsi="Arial" w:cs="Arial"/>
          <w:lang w:val="fr-FR"/>
        </w:rPr>
        <w:t xml:space="preserve"> à </w:t>
      </w:r>
      <w:smartTag w:uri="urn:schemas-microsoft-com:office:smarttags" w:element="metricconverter">
        <w:smartTagPr>
          <w:attr w:name="ProductID" w:val="20ﾰC"/>
        </w:smartTagPr>
        <w:r w:rsidR="00E45507">
          <w:rPr>
            <w:rFonts w:ascii="Arial" w:hAnsi="Arial" w:cs="Arial"/>
            <w:lang w:val="fr-FR"/>
          </w:rPr>
          <w:t>20°C</w:t>
        </w:r>
      </w:smartTag>
      <w:r w:rsidR="00E45507">
        <w:rPr>
          <w:rFonts w:ascii="Arial" w:hAnsi="Arial" w:cs="Arial"/>
          <w:lang w:val="fr-FR"/>
        </w:rPr>
        <w:t xml:space="preserve"> </w:t>
      </w:r>
      <w:r w:rsidR="00E45507" w:rsidRPr="00E45507">
        <w:rPr>
          <w:rFonts w:ascii="Arial" w:hAnsi="Arial" w:cs="Arial"/>
          <w:b w:val="0"/>
          <w:lang w:val="fr-FR"/>
        </w:rPr>
        <w:t xml:space="preserve">avec une plage de température </w:t>
      </w:r>
      <w:r w:rsidR="00E45507">
        <w:rPr>
          <w:rFonts w:ascii="Arial" w:hAnsi="Arial" w:cs="Arial"/>
          <w:b w:val="0"/>
          <w:lang w:val="fr-FR"/>
        </w:rPr>
        <w:t xml:space="preserve">admissible comprise entre </w:t>
      </w:r>
      <w:smartTag w:uri="urn:schemas-microsoft-com:office:smarttags" w:element="metricconverter">
        <w:smartTagPr>
          <w:attr w:name="ProductID" w:val="-5ﾰC"/>
        </w:smartTagPr>
        <w:r w:rsidR="00E45507">
          <w:rPr>
            <w:rFonts w:ascii="Arial" w:hAnsi="Arial" w:cs="Arial"/>
            <w:b w:val="0"/>
            <w:lang w:val="fr-FR"/>
          </w:rPr>
          <w:t>-5°C</w:t>
        </w:r>
      </w:smartTag>
      <w:r w:rsidR="00E45507">
        <w:rPr>
          <w:rFonts w:ascii="Arial" w:hAnsi="Arial" w:cs="Arial"/>
          <w:b w:val="0"/>
          <w:lang w:val="fr-FR"/>
        </w:rPr>
        <w:t xml:space="preserve"> et </w:t>
      </w:r>
      <w:smartTag w:uri="urn:schemas-microsoft-com:office:smarttags" w:element="metricconverter">
        <w:smartTagPr>
          <w:attr w:name="ProductID" w:val="95ﾰC"/>
        </w:smartTagPr>
        <w:r w:rsidR="00E45507">
          <w:rPr>
            <w:rFonts w:ascii="Arial" w:hAnsi="Arial" w:cs="Arial"/>
            <w:b w:val="0"/>
            <w:lang w:val="fr-FR"/>
          </w:rPr>
          <w:t>95°C</w:t>
        </w:r>
      </w:smartTag>
      <w:r w:rsidR="00E45507">
        <w:rPr>
          <w:rFonts w:ascii="Arial" w:hAnsi="Arial" w:cs="Arial"/>
          <w:b w:val="0"/>
          <w:lang w:val="fr-FR"/>
        </w:rPr>
        <w:t xml:space="preserve"> (70°C/10bar et 95°C/5bar) </w:t>
      </w:r>
    </w:p>
    <w:p w:rsidR="00106F35" w:rsidRDefault="00106F35" w:rsidP="00F15184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fr-FR"/>
        </w:rPr>
      </w:pPr>
    </w:p>
    <w:p w:rsidR="00106F35" w:rsidRDefault="00106F35" w:rsidP="00F15184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fr-FR"/>
        </w:rPr>
      </w:pPr>
      <w:r>
        <w:rPr>
          <w:rFonts w:ascii="Arial" w:hAnsi="Arial" w:cs="Arial"/>
          <w:bCs/>
          <w:sz w:val="24"/>
          <w:szCs w:val="24"/>
          <w:lang w:val="fr-FR"/>
        </w:rPr>
        <w:lastRenderedPageBreak/>
        <w:t>En raison de ses spécificités, les réseaux d’eau chaude</w:t>
      </w:r>
      <w:r w:rsidR="0036210C">
        <w:rPr>
          <w:rFonts w:ascii="Arial" w:hAnsi="Arial" w:cs="Arial"/>
          <w:bCs/>
          <w:sz w:val="24"/>
          <w:szCs w:val="24"/>
          <w:lang w:val="fr-FR"/>
        </w:rPr>
        <w:t xml:space="preserve"> et froide sanitaire</w:t>
      </w:r>
      <w:r w:rsidR="0022001F">
        <w:rPr>
          <w:rFonts w:ascii="Arial" w:hAnsi="Arial" w:cs="Arial"/>
          <w:bCs/>
          <w:sz w:val="24"/>
          <w:szCs w:val="24"/>
          <w:lang w:val="fr-FR"/>
        </w:rPr>
        <w:t xml:space="preserve"> en </w:t>
      </w:r>
      <w:proofErr w:type="spellStart"/>
      <w:r w:rsidR="0022001F">
        <w:rPr>
          <w:rFonts w:ascii="Arial" w:hAnsi="Arial" w:cs="Arial"/>
          <w:bCs/>
          <w:sz w:val="24"/>
          <w:szCs w:val="24"/>
          <w:lang w:val="fr-FR"/>
        </w:rPr>
        <w:t>polybute</w:t>
      </w:r>
      <w:r>
        <w:rPr>
          <w:rFonts w:ascii="Arial" w:hAnsi="Arial" w:cs="Arial"/>
          <w:bCs/>
          <w:sz w:val="24"/>
          <w:szCs w:val="24"/>
          <w:lang w:val="fr-FR"/>
        </w:rPr>
        <w:t>ne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  <w:r w:rsidR="0036210C">
        <w:rPr>
          <w:rFonts w:ascii="Arial" w:hAnsi="Arial" w:cs="Arial"/>
          <w:bCs/>
          <w:sz w:val="24"/>
          <w:szCs w:val="24"/>
          <w:lang w:val="fr-FR"/>
        </w:rPr>
        <w:t>seront</w:t>
      </w:r>
      <w:r>
        <w:rPr>
          <w:rFonts w:ascii="Arial" w:hAnsi="Arial" w:cs="Arial"/>
          <w:bCs/>
          <w:sz w:val="24"/>
          <w:szCs w:val="24"/>
          <w:lang w:val="fr-FR"/>
        </w:rPr>
        <w:t xml:space="preserve"> exempts de tout élément compensateur de dilatation de type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dilatoflex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ou lyre de dilatation</w:t>
      </w:r>
      <w:r w:rsidR="00C302C6">
        <w:rPr>
          <w:rFonts w:ascii="Arial" w:hAnsi="Arial" w:cs="Arial"/>
          <w:bCs/>
          <w:sz w:val="24"/>
          <w:szCs w:val="24"/>
          <w:lang w:val="fr-FR"/>
        </w:rPr>
        <w:t>.</w:t>
      </w:r>
    </w:p>
    <w:p w:rsidR="0036210C" w:rsidRDefault="0036210C" w:rsidP="00F15184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fr-FR"/>
        </w:rPr>
      </w:pPr>
      <w:r>
        <w:rPr>
          <w:rFonts w:ascii="Arial" w:hAnsi="Arial" w:cs="Arial"/>
          <w:bCs/>
          <w:sz w:val="24"/>
          <w:szCs w:val="24"/>
          <w:lang w:val="fr-FR"/>
        </w:rPr>
        <w:t>Pour des raisons d’hygiène de l’eau, l’utilisation de flexibles de dilatation sera proscrite</w:t>
      </w:r>
    </w:p>
    <w:p w:rsidR="00C302C6" w:rsidRPr="00C17DCC" w:rsidRDefault="000E6975" w:rsidP="00C302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fr-FR"/>
        </w:rPr>
        <w:t xml:space="preserve">Il conviendra néanmoins </w:t>
      </w:r>
      <w:r w:rsidR="00C302C6" w:rsidRPr="00E36105">
        <w:rPr>
          <w:rFonts w:ascii="Arial" w:hAnsi="Arial" w:cs="Arial"/>
          <w:b/>
          <w:sz w:val="24"/>
          <w:szCs w:val="24"/>
        </w:rPr>
        <w:t>dans un souci d’esthétique</w:t>
      </w:r>
      <w:r>
        <w:rPr>
          <w:rFonts w:ascii="Arial" w:hAnsi="Arial" w:cs="Arial"/>
          <w:b/>
          <w:sz w:val="24"/>
          <w:szCs w:val="24"/>
        </w:rPr>
        <w:t>,</w:t>
      </w:r>
      <w:r w:rsidR="00C302C6">
        <w:rPr>
          <w:rFonts w:ascii="Arial" w:hAnsi="Arial" w:cs="Arial"/>
          <w:bCs/>
          <w:sz w:val="24"/>
          <w:szCs w:val="24"/>
          <w:lang w:val="fr-FR"/>
        </w:rPr>
        <w:t xml:space="preserve"> de positionner </w:t>
      </w:r>
      <w:r w:rsidR="00C302C6">
        <w:rPr>
          <w:rFonts w:ascii="Arial" w:hAnsi="Arial" w:cs="Arial"/>
          <w:b/>
          <w:sz w:val="24"/>
          <w:szCs w:val="24"/>
        </w:rPr>
        <w:t>l</w:t>
      </w:r>
      <w:r w:rsidR="00C302C6" w:rsidRPr="00E36105">
        <w:rPr>
          <w:rFonts w:ascii="Arial" w:hAnsi="Arial" w:cs="Arial"/>
          <w:b/>
          <w:sz w:val="24"/>
          <w:szCs w:val="24"/>
        </w:rPr>
        <w:t>es canalisations apparentes sur des coques porteuses avec liens plastiques, colliers coulissants et points fixes</w:t>
      </w:r>
      <w:r w:rsidR="00C302C6" w:rsidRPr="00C17DCC">
        <w:rPr>
          <w:rFonts w:ascii="Arial" w:hAnsi="Arial" w:cs="Arial"/>
          <w:sz w:val="24"/>
          <w:szCs w:val="24"/>
        </w:rPr>
        <w:t>.</w:t>
      </w:r>
    </w:p>
    <w:p w:rsidR="00C302C6" w:rsidRDefault="000E6975" w:rsidP="00C302C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revanche l</w:t>
      </w:r>
      <w:r w:rsidR="00C302C6" w:rsidRPr="00E36105">
        <w:rPr>
          <w:rFonts w:ascii="Arial" w:hAnsi="Arial" w:cs="Arial"/>
          <w:b/>
          <w:sz w:val="24"/>
          <w:szCs w:val="24"/>
        </w:rPr>
        <w:t xml:space="preserve">es canalisations dissimulées pouvant accepter un flambage </w:t>
      </w:r>
      <w:r>
        <w:rPr>
          <w:rFonts w:ascii="Arial" w:hAnsi="Arial" w:cs="Arial"/>
          <w:b/>
          <w:sz w:val="24"/>
          <w:szCs w:val="24"/>
        </w:rPr>
        <w:t>pourront être</w:t>
      </w:r>
      <w:r w:rsidR="00C302C6" w:rsidRPr="00E36105">
        <w:rPr>
          <w:rFonts w:ascii="Arial" w:hAnsi="Arial" w:cs="Arial"/>
          <w:b/>
          <w:sz w:val="24"/>
          <w:szCs w:val="24"/>
        </w:rPr>
        <w:t xml:space="preserve"> simplement  fixées sur colliers coulissants avec points fixes</w:t>
      </w:r>
      <w:r w:rsidR="00C302C6">
        <w:rPr>
          <w:rFonts w:ascii="Arial" w:hAnsi="Arial" w:cs="Arial"/>
          <w:b/>
          <w:sz w:val="24"/>
          <w:szCs w:val="24"/>
        </w:rPr>
        <w:t>.</w:t>
      </w:r>
    </w:p>
    <w:p w:rsidR="00C302C6" w:rsidRDefault="00C302C6" w:rsidP="00C302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7DCC">
        <w:rPr>
          <w:rFonts w:ascii="Arial" w:hAnsi="Arial" w:cs="Arial"/>
          <w:sz w:val="24"/>
          <w:szCs w:val="24"/>
        </w:rPr>
        <w:t>Les vannes, robinets d’arrêts, compteurs et toutes robinetteries devront être</w:t>
      </w:r>
      <w:r w:rsidR="004213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supporté</w:t>
      </w:r>
      <w:r w:rsidRPr="00C17DCC">
        <w:rPr>
          <w:rFonts w:ascii="Arial" w:hAnsi="Arial" w:cs="Arial"/>
          <w:sz w:val="24"/>
          <w:szCs w:val="24"/>
        </w:rPr>
        <w:t>s individuellement.</w:t>
      </w:r>
    </w:p>
    <w:p w:rsidR="00C302C6" w:rsidRDefault="00C302C6" w:rsidP="00F15184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fr-FR"/>
        </w:rPr>
      </w:pPr>
    </w:p>
    <w:p w:rsidR="0049712D" w:rsidRDefault="0022001F" w:rsidP="00F151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Tous l</w:t>
      </w:r>
      <w:r w:rsidR="00670FB8" w:rsidRPr="00C17DCC">
        <w:rPr>
          <w:rFonts w:ascii="Arial" w:hAnsi="Arial" w:cs="Arial"/>
          <w:sz w:val="24"/>
          <w:szCs w:val="24"/>
        </w:rPr>
        <w:t>es raccords, tés, manchons,</w:t>
      </w:r>
      <w:r w:rsidR="00BD2E91">
        <w:rPr>
          <w:rFonts w:ascii="Arial" w:hAnsi="Arial" w:cs="Arial"/>
          <w:sz w:val="24"/>
          <w:szCs w:val="24"/>
        </w:rPr>
        <w:t xml:space="preserve"> coudes </w:t>
      </w:r>
      <w:r>
        <w:rPr>
          <w:rFonts w:ascii="Arial" w:hAnsi="Arial" w:cs="Arial"/>
          <w:sz w:val="24"/>
          <w:szCs w:val="24"/>
        </w:rPr>
        <w:t xml:space="preserve">seront également </w:t>
      </w:r>
      <w:r w:rsidR="00BD2E91">
        <w:rPr>
          <w:rFonts w:ascii="Arial" w:hAnsi="Arial" w:cs="Arial"/>
          <w:sz w:val="24"/>
          <w:szCs w:val="24"/>
        </w:rPr>
        <w:t>en polybutè</w:t>
      </w:r>
      <w:r w:rsidR="00670FB8" w:rsidRPr="00C17DCC">
        <w:rPr>
          <w:rFonts w:ascii="Arial" w:hAnsi="Arial" w:cs="Arial"/>
          <w:sz w:val="24"/>
          <w:szCs w:val="24"/>
        </w:rPr>
        <w:t xml:space="preserve">ne </w:t>
      </w:r>
      <w:r w:rsidRPr="0022001F">
        <w:rPr>
          <w:rFonts w:ascii="Arial" w:hAnsi="Arial" w:cs="Arial"/>
          <w:b/>
          <w:sz w:val="24"/>
          <w:szCs w:val="24"/>
        </w:rPr>
        <w:t>gamme INSTAFLEX® de chez GEORG FISCHER ou équivalent</w:t>
      </w:r>
      <w:r>
        <w:rPr>
          <w:rFonts w:ascii="Arial" w:hAnsi="Arial" w:cs="Arial"/>
          <w:sz w:val="24"/>
          <w:szCs w:val="24"/>
        </w:rPr>
        <w:t xml:space="preserve"> et </w:t>
      </w:r>
      <w:r w:rsidR="000D484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’assembleront </w:t>
      </w:r>
      <w:r w:rsidR="000D4847">
        <w:rPr>
          <w:rFonts w:ascii="Arial" w:hAnsi="Arial" w:cs="Arial"/>
          <w:sz w:val="24"/>
          <w:szCs w:val="24"/>
        </w:rPr>
        <w:t xml:space="preserve">exclusivement par </w:t>
      </w:r>
      <w:r w:rsidR="00AC64F7" w:rsidRPr="00C17DCC">
        <w:rPr>
          <w:rFonts w:ascii="Arial" w:hAnsi="Arial" w:cs="Arial"/>
          <w:sz w:val="24"/>
          <w:szCs w:val="24"/>
        </w:rPr>
        <w:t>électro-fusion</w:t>
      </w:r>
      <w:r w:rsidR="00F62572">
        <w:rPr>
          <w:rFonts w:ascii="Arial" w:hAnsi="Arial" w:cs="Arial"/>
          <w:sz w:val="24"/>
          <w:szCs w:val="24"/>
        </w:rPr>
        <w:t xml:space="preserve"> afin d’avoir </w:t>
      </w:r>
      <w:r w:rsidR="001E03A6">
        <w:rPr>
          <w:rFonts w:ascii="Arial" w:hAnsi="Arial" w:cs="Arial"/>
          <w:sz w:val="24"/>
          <w:szCs w:val="24"/>
        </w:rPr>
        <w:t>un diamètre de passage totalement intégral sans bourrelet intérieur, pour prévenir des risques de développement bactérien et réduire également les pertes de charge.</w:t>
      </w:r>
    </w:p>
    <w:p w:rsidR="00421309" w:rsidRDefault="00421309" w:rsidP="00F151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21309" w:rsidRDefault="00421309" w:rsidP="00F151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vannes d’arrêts</w:t>
      </w:r>
      <w:r w:rsidR="00BD2E91">
        <w:rPr>
          <w:rFonts w:ascii="Arial" w:hAnsi="Arial" w:cs="Arial"/>
          <w:sz w:val="24"/>
          <w:szCs w:val="24"/>
        </w:rPr>
        <w:t xml:space="preserve"> seront également en polybutène</w:t>
      </w:r>
      <w:r w:rsidR="00B00894" w:rsidRPr="00B00894">
        <w:rPr>
          <w:rFonts w:ascii="Arial" w:hAnsi="Arial" w:cs="Arial"/>
          <w:b/>
          <w:sz w:val="24"/>
          <w:szCs w:val="24"/>
        </w:rPr>
        <w:t xml:space="preserve"> </w:t>
      </w:r>
      <w:r w:rsidR="00BD2E91">
        <w:rPr>
          <w:rFonts w:ascii="Arial" w:hAnsi="Arial" w:cs="Arial"/>
          <w:b/>
          <w:sz w:val="24"/>
          <w:szCs w:val="24"/>
        </w:rPr>
        <w:t xml:space="preserve">gamme </w:t>
      </w:r>
      <w:r w:rsidR="00B00894" w:rsidRPr="0022001F">
        <w:rPr>
          <w:rFonts w:ascii="Arial" w:hAnsi="Arial" w:cs="Arial"/>
          <w:b/>
          <w:sz w:val="24"/>
          <w:szCs w:val="24"/>
        </w:rPr>
        <w:t>INSTAFLEX® de chez GEORG FISCHER ou équivalent</w:t>
      </w:r>
      <w:r w:rsidR="00B00894">
        <w:rPr>
          <w:rFonts w:ascii="Arial" w:hAnsi="Arial" w:cs="Arial"/>
          <w:sz w:val="24"/>
          <w:szCs w:val="24"/>
        </w:rPr>
        <w:t xml:space="preserve"> </w:t>
      </w:r>
      <w:r w:rsidR="00BD2E91">
        <w:rPr>
          <w:rFonts w:ascii="Arial" w:hAnsi="Arial" w:cs="Arial"/>
          <w:sz w:val="24"/>
          <w:szCs w:val="24"/>
        </w:rPr>
        <w:t xml:space="preserve">et </w:t>
      </w:r>
      <w:r>
        <w:rPr>
          <w:rFonts w:ascii="Arial" w:hAnsi="Arial" w:cs="Arial"/>
          <w:sz w:val="24"/>
          <w:szCs w:val="24"/>
        </w:rPr>
        <w:t>s’assembleront exclusivement par électro fusion afin de garantir un passage intégral. Ces vannes</w:t>
      </w:r>
      <w:r w:rsidR="00B00894">
        <w:rPr>
          <w:rFonts w:ascii="Arial" w:hAnsi="Arial" w:cs="Arial"/>
          <w:sz w:val="24"/>
          <w:szCs w:val="24"/>
        </w:rPr>
        <w:t xml:space="preserve"> seront multi tours avec un joint EPDM, qualité eau potable. Les pièces d’usures seront accessibles par le capot démontable de la vanne.</w:t>
      </w:r>
    </w:p>
    <w:p w:rsidR="00421309" w:rsidRDefault="00421309" w:rsidP="00F151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21309" w:rsidRDefault="00421309" w:rsidP="00F151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42874" w:rsidRDefault="00A42874" w:rsidP="00F151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Néanmoi</w:t>
      </w:r>
      <w:r w:rsidR="007F4097">
        <w:rPr>
          <w:rFonts w:ascii="Arial" w:hAnsi="Arial" w:cs="Arial"/>
          <w:sz w:val="24"/>
          <w:szCs w:val="24"/>
        </w:rPr>
        <w:t xml:space="preserve">ns, et pour certains cas isolés, il pourra être accepté un assemblage par </w:t>
      </w:r>
      <w:proofErr w:type="spellStart"/>
      <w:r w:rsidR="007F4097">
        <w:rPr>
          <w:rFonts w:ascii="Arial" w:hAnsi="Arial" w:cs="Arial"/>
          <w:sz w:val="24"/>
          <w:szCs w:val="24"/>
        </w:rPr>
        <w:t>polyfusion</w:t>
      </w:r>
      <w:proofErr w:type="spellEnd"/>
      <w:r w:rsidR="007F4097">
        <w:rPr>
          <w:rFonts w:ascii="Arial" w:hAnsi="Arial" w:cs="Arial"/>
          <w:sz w:val="24"/>
          <w:szCs w:val="24"/>
        </w:rPr>
        <w:t xml:space="preserve"> emboiture sous les conseils du fabricant</w:t>
      </w:r>
    </w:p>
    <w:p w:rsidR="007F4097" w:rsidRPr="00C17DCC" w:rsidRDefault="007F4097" w:rsidP="00F151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Il en est de même pour les selles de piquage </w:t>
      </w:r>
      <w:proofErr w:type="spellStart"/>
      <w:r>
        <w:rPr>
          <w:rFonts w:ascii="Arial" w:hAnsi="Arial" w:cs="Arial"/>
          <w:sz w:val="24"/>
          <w:szCs w:val="24"/>
        </w:rPr>
        <w:t>polyfusables</w:t>
      </w:r>
      <w:proofErr w:type="spellEnd"/>
    </w:p>
    <w:p w:rsidR="000E6975" w:rsidRDefault="000E6975" w:rsidP="007F409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F4097" w:rsidRDefault="007F4097" w:rsidP="007F40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Toutes les phases de </w:t>
      </w:r>
      <w:r w:rsidRPr="00C17DCC">
        <w:rPr>
          <w:rFonts w:ascii="Arial" w:hAnsi="Arial" w:cs="Arial"/>
          <w:sz w:val="24"/>
          <w:szCs w:val="24"/>
        </w:rPr>
        <w:t xml:space="preserve">mise en œuvre devront être réalisées suivant les </w:t>
      </w:r>
      <w:r>
        <w:rPr>
          <w:rFonts w:ascii="Arial" w:hAnsi="Arial" w:cs="Arial"/>
          <w:sz w:val="24"/>
          <w:szCs w:val="24"/>
        </w:rPr>
        <w:t>p</w:t>
      </w:r>
      <w:r w:rsidRPr="00C17DCC">
        <w:rPr>
          <w:rFonts w:ascii="Arial" w:hAnsi="Arial" w:cs="Arial"/>
          <w:sz w:val="24"/>
          <w:szCs w:val="24"/>
        </w:rPr>
        <w:t>réconisations du manuel technique du fabriquant.</w:t>
      </w:r>
    </w:p>
    <w:p w:rsidR="000D4847" w:rsidRDefault="000D4847" w:rsidP="007F409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D4847" w:rsidRDefault="000D4847" w:rsidP="007F40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L’installateur du présent lot, avant le démarrage du chantier, devra se rapprocher du fabricant pour recevoir le programm</w:t>
      </w:r>
      <w:r w:rsidR="0022001F">
        <w:rPr>
          <w:rFonts w:ascii="Arial" w:hAnsi="Arial" w:cs="Arial"/>
          <w:sz w:val="24"/>
          <w:szCs w:val="24"/>
        </w:rPr>
        <w:t>e de formation nécessaire d</w:t>
      </w:r>
      <w:r>
        <w:rPr>
          <w:rFonts w:ascii="Arial" w:hAnsi="Arial" w:cs="Arial"/>
          <w:sz w:val="24"/>
          <w:szCs w:val="24"/>
        </w:rPr>
        <w:t xml:space="preserve">es équipes de pose </w:t>
      </w:r>
    </w:p>
    <w:p w:rsidR="000D4847" w:rsidRDefault="000D4847" w:rsidP="007F409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D4847" w:rsidRDefault="000D4847" w:rsidP="007F40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Afin de prévenir de toute problématique de contamination bactérienne des réseaux sanitaires, </w:t>
      </w:r>
      <w:r w:rsidR="001E03A6">
        <w:rPr>
          <w:rFonts w:ascii="Arial" w:hAnsi="Arial" w:cs="Arial"/>
          <w:sz w:val="24"/>
          <w:szCs w:val="24"/>
        </w:rPr>
        <w:t xml:space="preserve">de type </w:t>
      </w:r>
      <w:proofErr w:type="spellStart"/>
      <w:r w:rsidR="001E03A6">
        <w:rPr>
          <w:rFonts w:ascii="Arial" w:hAnsi="Arial" w:cs="Arial"/>
          <w:sz w:val="24"/>
          <w:szCs w:val="24"/>
        </w:rPr>
        <w:t>légionelle</w:t>
      </w:r>
      <w:proofErr w:type="spellEnd"/>
      <w:r w:rsidR="001E03A6">
        <w:rPr>
          <w:rFonts w:ascii="Arial" w:hAnsi="Arial" w:cs="Arial"/>
          <w:sz w:val="24"/>
          <w:szCs w:val="24"/>
        </w:rPr>
        <w:t xml:space="preserve"> ou </w:t>
      </w:r>
      <w:proofErr w:type="spellStart"/>
      <w:r w:rsidR="001E03A6">
        <w:rPr>
          <w:rFonts w:ascii="Arial" w:hAnsi="Arial" w:cs="Arial"/>
          <w:sz w:val="24"/>
          <w:szCs w:val="24"/>
        </w:rPr>
        <w:t>pseudomonas</w:t>
      </w:r>
      <w:proofErr w:type="spellEnd"/>
      <w:r w:rsidR="001E03A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il conviendra à l’installateur de </w:t>
      </w:r>
      <w:r w:rsidR="000C0CDB">
        <w:rPr>
          <w:rFonts w:ascii="Arial" w:hAnsi="Arial" w:cs="Arial"/>
          <w:sz w:val="24"/>
          <w:szCs w:val="24"/>
        </w:rPr>
        <w:t>privilégier</w:t>
      </w:r>
      <w:r>
        <w:rPr>
          <w:rFonts w:ascii="Arial" w:hAnsi="Arial" w:cs="Arial"/>
          <w:sz w:val="24"/>
          <w:szCs w:val="24"/>
        </w:rPr>
        <w:t xml:space="preserve"> ses essais de pression en « air » et non en « eau »</w:t>
      </w:r>
      <w:r w:rsidR="000C0CDB">
        <w:rPr>
          <w:rFonts w:ascii="Arial" w:hAnsi="Arial" w:cs="Arial"/>
          <w:sz w:val="24"/>
          <w:szCs w:val="24"/>
        </w:rPr>
        <w:t>.</w:t>
      </w:r>
    </w:p>
    <w:p w:rsidR="000D4847" w:rsidRPr="00C17DCC" w:rsidRDefault="000D4847" w:rsidP="007F40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Néanmoins, les réseaux en polybutène seront compatibles avec les différentes méthodes de désinfection, qu’elles soient chimiques ou thermiques</w:t>
      </w:r>
      <w:r w:rsidR="0096520B">
        <w:rPr>
          <w:rFonts w:ascii="Arial" w:hAnsi="Arial" w:cs="Arial"/>
          <w:sz w:val="24"/>
          <w:szCs w:val="24"/>
        </w:rPr>
        <w:t xml:space="preserve"> e</w:t>
      </w:r>
      <w:r w:rsidR="0022001F">
        <w:rPr>
          <w:rFonts w:ascii="Arial" w:hAnsi="Arial" w:cs="Arial"/>
          <w:sz w:val="24"/>
          <w:szCs w:val="24"/>
        </w:rPr>
        <w:t>t devront dans tous les cas,</w:t>
      </w:r>
      <w:r w:rsidR="0096520B">
        <w:rPr>
          <w:rFonts w:ascii="Arial" w:hAnsi="Arial" w:cs="Arial"/>
          <w:sz w:val="24"/>
          <w:szCs w:val="24"/>
        </w:rPr>
        <w:t xml:space="preserve"> au préalable </w:t>
      </w:r>
      <w:r w:rsidR="0022001F">
        <w:rPr>
          <w:rFonts w:ascii="Arial" w:hAnsi="Arial" w:cs="Arial"/>
          <w:sz w:val="24"/>
          <w:szCs w:val="24"/>
        </w:rPr>
        <w:t>être validées par le fabricant.</w:t>
      </w:r>
    </w:p>
    <w:p w:rsidR="007F4097" w:rsidRDefault="007F4097" w:rsidP="00F151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97EE1" w:rsidRDefault="00697EE1" w:rsidP="00F151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17DCC" w:rsidRPr="00C17DCC" w:rsidRDefault="00C17DCC" w:rsidP="00F151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F5918" w:rsidRDefault="009F5918" w:rsidP="00F15184">
      <w:pPr>
        <w:tabs>
          <w:tab w:val="right" w:pos="142"/>
        </w:tabs>
        <w:spacing w:line="360" w:lineRule="auto"/>
        <w:ind w:left="284" w:firstLine="850"/>
        <w:jc w:val="both"/>
        <w:rPr>
          <w:sz w:val="24"/>
        </w:rPr>
      </w:pPr>
    </w:p>
    <w:sectPr w:rsidR="009F5918" w:rsidSect="00E36105">
      <w:headerReference w:type="default" r:id="rId7"/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23A" w:rsidRDefault="00FF123A">
      <w:r>
        <w:separator/>
      </w:r>
    </w:p>
  </w:endnote>
  <w:endnote w:type="continuationSeparator" w:id="0">
    <w:p w:rsidR="00FF123A" w:rsidRDefault="00FF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23A" w:rsidRDefault="00FF123A">
      <w:r>
        <w:separator/>
      </w:r>
    </w:p>
  </w:footnote>
  <w:footnote w:type="continuationSeparator" w:id="0">
    <w:p w:rsidR="00FF123A" w:rsidRDefault="00FF1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E91" w:rsidRPr="00297DDF" w:rsidRDefault="00BD2E91" w:rsidP="00297DDF">
    <w:pPr>
      <w:pStyle w:val="Corpsdetexte"/>
      <w:spacing w:line="240" w:lineRule="auto"/>
      <w:ind w:left="142"/>
      <w:jc w:val="both"/>
      <w:rPr>
        <w:sz w:val="15"/>
        <w:lang w:val="en-GB"/>
      </w:rPr>
    </w:pPr>
    <w:r w:rsidRPr="004C7759">
      <w:rPr>
        <w:rFonts w:ascii="Arial" w:hAnsi="Arial" w:cs="Arial"/>
        <w:sz w:val="15"/>
        <w:lang w:val="en-GB"/>
      </w:rPr>
      <w:t>Georg Fischer SAS</w:t>
    </w:r>
    <w:r w:rsidRPr="00297DDF">
      <w:rPr>
        <w:sz w:val="15"/>
        <w:lang w:val="en-GB"/>
      </w:rPr>
      <w:tab/>
    </w:r>
    <w:r w:rsidRPr="00297DDF">
      <w:rPr>
        <w:sz w:val="15"/>
        <w:lang w:val="en-GB"/>
      </w:rPr>
      <w:tab/>
    </w:r>
    <w:r w:rsidRPr="00297DDF">
      <w:rPr>
        <w:sz w:val="15"/>
        <w:lang w:val="en-GB"/>
      </w:rPr>
      <w:tab/>
    </w:r>
    <w:r w:rsidRPr="00297DDF">
      <w:rPr>
        <w:sz w:val="15"/>
        <w:lang w:val="en-GB"/>
      </w:rPr>
      <w:tab/>
    </w:r>
    <w:r w:rsidR="00ED12EE">
      <w:rPr>
        <w:rFonts w:ascii="Century Gothic" w:eastAsia="Arial Unicode MS" w:hAnsi="Century Gothic" w:cs="Tunga"/>
        <w:b/>
        <w:noProof/>
        <w:color w:val="0000FF"/>
        <w:sz w:val="40"/>
        <w:szCs w:val="40"/>
        <w:lang w:val="fr-FR"/>
      </w:rPr>
      <w:drawing>
        <wp:inline distT="0" distB="0" distL="0" distR="0">
          <wp:extent cx="3037840" cy="94551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84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97DDF">
      <w:rPr>
        <w:sz w:val="15"/>
        <w:lang w:val="en-GB"/>
      </w:rPr>
      <w:t xml:space="preserve"> </w:t>
    </w:r>
  </w:p>
  <w:p w:rsidR="00BD2E91" w:rsidRPr="004C7759" w:rsidRDefault="00BD2E91" w:rsidP="00297DDF">
    <w:pPr>
      <w:pStyle w:val="Corpsdetexte"/>
      <w:spacing w:line="240" w:lineRule="auto"/>
      <w:ind w:left="142"/>
      <w:jc w:val="both"/>
      <w:rPr>
        <w:rFonts w:ascii="Arial" w:hAnsi="Arial" w:cs="Arial"/>
        <w:sz w:val="15"/>
        <w:lang w:val="en-GB"/>
      </w:rPr>
    </w:pPr>
    <w:r w:rsidRPr="004C7759">
      <w:rPr>
        <w:rFonts w:ascii="Arial" w:hAnsi="Arial" w:cs="Arial"/>
        <w:sz w:val="15"/>
        <w:lang w:val="en-GB"/>
      </w:rPr>
      <w:t xml:space="preserve">BP 88026 </w:t>
    </w:r>
    <w:proofErr w:type="spellStart"/>
    <w:r w:rsidRPr="004C7759">
      <w:rPr>
        <w:rFonts w:ascii="Arial" w:hAnsi="Arial" w:cs="Arial"/>
        <w:sz w:val="15"/>
        <w:lang w:val="en-GB"/>
      </w:rPr>
      <w:t>Villepinte</w:t>
    </w:r>
    <w:proofErr w:type="spellEnd"/>
  </w:p>
  <w:p w:rsidR="00BD2E91" w:rsidRPr="004C7759" w:rsidRDefault="00BD2E91" w:rsidP="00297DDF">
    <w:pPr>
      <w:pStyle w:val="Corpsdetexte"/>
      <w:spacing w:line="240" w:lineRule="auto"/>
      <w:ind w:left="142"/>
      <w:jc w:val="both"/>
      <w:rPr>
        <w:rFonts w:ascii="Arial" w:hAnsi="Arial" w:cs="Arial"/>
        <w:sz w:val="15"/>
      </w:rPr>
    </w:pPr>
    <w:r w:rsidRPr="004C7759">
      <w:rPr>
        <w:rFonts w:ascii="Arial" w:hAnsi="Arial" w:cs="Arial"/>
        <w:sz w:val="15"/>
      </w:rPr>
      <w:t>22, avenue des Nations</w:t>
    </w:r>
  </w:p>
  <w:p w:rsidR="00BD2E91" w:rsidRPr="004C7759" w:rsidRDefault="00BD2E91" w:rsidP="00297DDF">
    <w:pPr>
      <w:pStyle w:val="Corpsdetexte"/>
      <w:spacing w:line="240" w:lineRule="auto"/>
      <w:ind w:left="142"/>
      <w:jc w:val="both"/>
      <w:rPr>
        <w:rFonts w:ascii="Arial" w:hAnsi="Arial" w:cs="Arial"/>
        <w:sz w:val="15"/>
      </w:rPr>
    </w:pPr>
    <w:r w:rsidRPr="004C7759">
      <w:rPr>
        <w:rFonts w:ascii="Arial" w:hAnsi="Arial" w:cs="Arial"/>
        <w:sz w:val="15"/>
      </w:rPr>
      <w:t>95932 ROISSY CH DE GAULLE CEDEX</w:t>
    </w:r>
  </w:p>
  <w:p w:rsidR="00BD2E91" w:rsidRPr="004C7759" w:rsidRDefault="00BD2E91" w:rsidP="00297DDF">
    <w:pPr>
      <w:pStyle w:val="Corpsdetexte"/>
      <w:spacing w:line="240" w:lineRule="auto"/>
      <w:ind w:left="142"/>
      <w:jc w:val="both"/>
      <w:rPr>
        <w:rFonts w:ascii="Arial" w:hAnsi="Arial" w:cs="Arial"/>
        <w:sz w:val="15"/>
      </w:rPr>
    </w:pPr>
    <w:r w:rsidRPr="004C7759">
      <w:rPr>
        <w:rFonts w:ascii="Arial" w:hAnsi="Arial" w:cs="Arial"/>
        <w:sz w:val="15"/>
      </w:rPr>
      <w:t>Tél. +33 (0) 1 41 84 68 56</w:t>
    </w:r>
  </w:p>
  <w:p w:rsidR="00BD2E91" w:rsidRPr="004C7759" w:rsidRDefault="00BD2E91" w:rsidP="00297DDF">
    <w:pPr>
      <w:pStyle w:val="Corpsdetexte"/>
      <w:spacing w:line="240" w:lineRule="auto"/>
      <w:ind w:left="142"/>
      <w:jc w:val="both"/>
      <w:rPr>
        <w:rFonts w:ascii="Arial" w:hAnsi="Arial" w:cs="Arial"/>
        <w:sz w:val="15"/>
      </w:rPr>
    </w:pPr>
    <w:r w:rsidRPr="004C7759">
      <w:rPr>
        <w:rFonts w:ascii="Arial" w:hAnsi="Arial" w:cs="Arial"/>
        <w:sz w:val="15"/>
      </w:rPr>
      <w:t>Fax +33 (0) 1 41 84 68 66</w:t>
    </w:r>
  </w:p>
  <w:p w:rsidR="00BD2E91" w:rsidRPr="004C7759" w:rsidRDefault="00FF123A" w:rsidP="00297DDF">
    <w:pPr>
      <w:pStyle w:val="Corpsdetexte"/>
      <w:spacing w:line="240" w:lineRule="auto"/>
      <w:ind w:left="142"/>
      <w:jc w:val="both"/>
      <w:rPr>
        <w:rFonts w:ascii="Arial" w:hAnsi="Arial" w:cs="Arial"/>
        <w:sz w:val="15"/>
      </w:rPr>
    </w:pPr>
    <w:hyperlink r:id="rId2" w:history="1">
      <w:r w:rsidR="00BD2E91" w:rsidRPr="004C7759">
        <w:rPr>
          <w:rStyle w:val="Lienhypertexte"/>
          <w:rFonts w:ascii="Arial" w:hAnsi="Arial" w:cs="Arial"/>
          <w:sz w:val="15"/>
        </w:rPr>
        <w:t>fr.ps@georgfischer.com</w:t>
      </w:r>
    </w:hyperlink>
  </w:p>
  <w:p w:rsidR="00BD2E91" w:rsidRPr="004C7759" w:rsidRDefault="00BD2E91" w:rsidP="00297DDF">
    <w:pPr>
      <w:pStyle w:val="Corpsdetexte"/>
      <w:spacing w:line="240" w:lineRule="auto"/>
      <w:ind w:left="142"/>
      <w:jc w:val="both"/>
      <w:rPr>
        <w:rFonts w:ascii="Arial" w:hAnsi="Arial" w:cs="Arial"/>
        <w:sz w:val="15"/>
      </w:rPr>
    </w:pPr>
    <w:r w:rsidRPr="004C7759">
      <w:rPr>
        <w:rFonts w:ascii="Arial" w:hAnsi="Arial" w:cs="Arial"/>
        <w:sz w:val="15"/>
      </w:rPr>
      <w:t>www.georgfischer.fr</w:t>
    </w:r>
  </w:p>
  <w:p w:rsidR="00BD2E91" w:rsidRDefault="00BD2E91" w:rsidP="00297DDF">
    <w:pPr>
      <w:pStyle w:val="Corpsdetexte"/>
      <w:spacing w:line="240" w:lineRule="auto"/>
      <w:jc w:val="both"/>
      <w:rPr>
        <w:sz w:val="15"/>
      </w:rPr>
    </w:pPr>
  </w:p>
  <w:p w:rsidR="00BD2E91" w:rsidRDefault="00BD2E9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B9"/>
    <w:rsid w:val="000272EE"/>
    <w:rsid w:val="000430DF"/>
    <w:rsid w:val="00096EFE"/>
    <w:rsid w:val="000A344D"/>
    <w:rsid w:val="000C0CDB"/>
    <w:rsid w:val="000C34D2"/>
    <w:rsid w:val="000D4847"/>
    <w:rsid w:val="000E6463"/>
    <w:rsid w:val="000E6975"/>
    <w:rsid w:val="000F07A3"/>
    <w:rsid w:val="000F45BD"/>
    <w:rsid w:val="001035CF"/>
    <w:rsid w:val="00104CD1"/>
    <w:rsid w:val="00106F35"/>
    <w:rsid w:val="001170CF"/>
    <w:rsid w:val="001331AD"/>
    <w:rsid w:val="001A1448"/>
    <w:rsid w:val="001E03A6"/>
    <w:rsid w:val="001E1B8B"/>
    <w:rsid w:val="0022001F"/>
    <w:rsid w:val="00291C9F"/>
    <w:rsid w:val="002927B6"/>
    <w:rsid w:val="00294F0A"/>
    <w:rsid w:val="00297DDF"/>
    <w:rsid w:val="003072FC"/>
    <w:rsid w:val="0035086E"/>
    <w:rsid w:val="0036210C"/>
    <w:rsid w:val="00413F36"/>
    <w:rsid w:val="00421309"/>
    <w:rsid w:val="004343A3"/>
    <w:rsid w:val="0049712D"/>
    <w:rsid w:val="004B1042"/>
    <w:rsid w:val="004C7759"/>
    <w:rsid w:val="00586A43"/>
    <w:rsid w:val="005C0269"/>
    <w:rsid w:val="005D0423"/>
    <w:rsid w:val="00637304"/>
    <w:rsid w:val="00670FB8"/>
    <w:rsid w:val="00697EE1"/>
    <w:rsid w:val="006A4DBD"/>
    <w:rsid w:val="00747AE7"/>
    <w:rsid w:val="007A1600"/>
    <w:rsid w:val="007A74F2"/>
    <w:rsid w:val="007F14F3"/>
    <w:rsid w:val="007F4097"/>
    <w:rsid w:val="00804E1E"/>
    <w:rsid w:val="008B4240"/>
    <w:rsid w:val="008C47DF"/>
    <w:rsid w:val="008F3F9E"/>
    <w:rsid w:val="00932CA8"/>
    <w:rsid w:val="009462A2"/>
    <w:rsid w:val="00946FE3"/>
    <w:rsid w:val="00961A80"/>
    <w:rsid w:val="0096520B"/>
    <w:rsid w:val="00991CBA"/>
    <w:rsid w:val="009E53E1"/>
    <w:rsid w:val="009F5918"/>
    <w:rsid w:val="00A42874"/>
    <w:rsid w:val="00A82A6C"/>
    <w:rsid w:val="00AC40B9"/>
    <w:rsid w:val="00AC64F7"/>
    <w:rsid w:val="00AC6C38"/>
    <w:rsid w:val="00AD5A6D"/>
    <w:rsid w:val="00AF1513"/>
    <w:rsid w:val="00B00894"/>
    <w:rsid w:val="00B0099B"/>
    <w:rsid w:val="00B65F76"/>
    <w:rsid w:val="00B9164F"/>
    <w:rsid w:val="00BA39DE"/>
    <w:rsid w:val="00BD2E91"/>
    <w:rsid w:val="00BF16D4"/>
    <w:rsid w:val="00C17DCC"/>
    <w:rsid w:val="00C302C6"/>
    <w:rsid w:val="00C469AA"/>
    <w:rsid w:val="00CC495F"/>
    <w:rsid w:val="00CF5FEE"/>
    <w:rsid w:val="00D0119C"/>
    <w:rsid w:val="00D206FE"/>
    <w:rsid w:val="00D25FB9"/>
    <w:rsid w:val="00D41876"/>
    <w:rsid w:val="00D61B94"/>
    <w:rsid w:val="00D70A6E"/>
    <w:rsid w:val="00DF18CF"/>
    <w:rsid w:val="00E170FB"/>
    <w:rsid w:val="00E22EB2"/>
    <w:rsid w:val="00E36105"/>
    <w:rsid w:val="00E4184F"/>
    <w:rsid w:val="00E45507"/>
    <w:rsid w:val="00E67725"/>
    <w:rsid w:val="00E75F13"/>
    <w:rsid w:val="00E90D53"/>
    <w:rsid w:val="00E9319C"/>
    <w:rsid w:val="00ED12EE"/>
    <w:rsid w:val="00EE0929"/>
    <w:rsid w:val="00F05A86"/>
    <w:rsid w:val="00F15184"/>
    <w:rsid w:val="00F62572"/>
    <w:rsid w:val="00F62D83"/>
    <w:rsid w:val="00F83A31"/>
    <w:rsid w:val="00FB0330"/>
    <w:rsid w:val="00FB6A80"/>
    <w:rsid w:val="00FC7D43"/>
    <w:rsid w:val="00FF123A"/>
    <w:rsid w:val="00FF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3DA64F58-FDF7-454E-8160-E7F9E93F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ind w:right="-1134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spacing w:line="360" w:lineRule="auto"/>
      <w:ind w:right="-1276"/>
    </w:pPr>
    <w:rPr>
      <w:sz w:val="24"/>
      <w:szCs w:val="24"/>
    </w:rPr>
  </w:style>
  <w:style w:type="paragraph" w:styleId="Commentaire">
    <w:name w:val="annotation text"/>
    <w:basedOn w:val="Normal"/>
    <w:semiHidden/>
  </w:style>
  <w:style w:type="paragraph" w:styleId="Adressedestinataire">
    <w:name w:val="envelope address"/>
    <w:basedOn w:val="Normal"/>
    <w:pPr>
      <w:framePr w:w="7938" w:h="1985" w:hRule="exact" w:hSpace="141" w:wrap="auto" w:hAnchor="page" w:xAlign="center" w:yAlign="bottom"/>
      <w:ind w:left="2835"/>
    </w:pPr>
    <w:rPr>
      <w:sz w:val="24"/>
      <w:szCs w:val="24"/>
    </w:rPr>
  </w:style>
  <w:style w:type="paragraph" w:styleId="Index1">
    <w:name w:val="index 1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customStyle="1" w:styleId="1adresse">
    <w:name w:val="1adresse"/>
    <w:basedOn w:val="Normal"/>
    <w:pPr>
      <w:ind w:left="4678"/>
    </w:pPr>
    <w:rPr>
      <w:sz w:val="24"/>
      <w:szCs w:val="24"/>
    </w:rPr>
  </w:style>
  <w:style w:type="paragraph" w:customStyle="1" w:styleId="Style1">
    <w:name w:val="Style1"/>
    <w:basedOn w:val="Normal"/>
    <w:pPr>
      <w:ind w:left="4678"/>
    </w:pPr>
    <w:rPr>
      <w:i/>
      <w:iCs/>
      <w:sz w:val="24"/>
      <w:szCs w:val="24"/>
    </w:rPr>
  </w:style>
  <w:style w:type="paragraph" w:customStyle="1" w:styleId="Date1">
    <w:name w:val="Date1"/>
    <w:basedOn w:val="Style1"/>
    <w:rPr>
      <w:i w:val="0"/>
      <w:iCs w:val="0"/>
    </w:rPr>
  </w:style>
  <w:style w:type="paragraph" w:customStyle="1" w:styleId="1objet">
    <w:name w:val="1objet"/>
    <w:basedOn w:val="Normal"/>
    <w:pPr>
      <w:ind w:left="1134"/>
    </w:pPr>
    <w:rPr>
      <w:b/>
      <w:bCs/>
      <w:sz w:val="24"/>
      <w:szCs w:val="24"/>
    </w:rPr>
  </w:style>
  <w:style w:type="paragraph" w:customStyle="1" w:styleId="1signature">
    <w:name w:val="1signature"/>
    <w:basedOn w:val="Normal"/>
    <w:pPr>
      <w:spacing w:line="360" w:lineRule="auto"/>
      <w:ind w:firstLine="4820"/>
    </w:pPr>
    <w:rPr>
      <w:sz w:val="24"/>
      <w:szCs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sid w:val="00297DDF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ED12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D12EE"/>
    <w:rPr>
      <w:rFonts w:ascii="Tahoma" w:hAnsi="Tahoma" w:cs="Tahoma"/>
      <w:sz w:val="16"/>
      <w:szCs w:val="16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r.ps@georgfischer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	PAROISSE DE LA RESURRECTION</vt:lpstr>
    </vt:vector>
  </TitlesOfParts>
  <Company>GEORG FISCHER</Company>
  <LinksUpToDate>false</LinksUpToDate>
  <CharactersWithSpaces>3295</CharactersWithSpaces>
  <SharedDoc>false</SharedDoc>
  <HLinks>
    <vt:vector size="6" baseType="variant">
      <vt:variant>
        <vt:i4>1572979</vt:i4>
      </vt:variant>
      <vt:variant>
        <vt:i4>0</vt:i4>
      </vt:variant>
      <vt:variant>
        <vt:i4>0</vt:i4>
      </vt:variant>
      <vt:variant>
        <vt:i4>5</vt:i4>
      </vt:variant>
      <vt:variant>
        <vt:lpwstr>mailto:fr.ps@georgfischer.com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PAROISSE DE LA RESURRECTION</dc:title>
  <dc:creator>INSTITUT DU TRAVAIL</dc:creator>
  <cp:lastModifiedBy>olivier perchat</cp:lastModifiedBy>
  <cp:revision>3</cp:revision>
  <cp:lastPrinted>2002-10-11T12:31:00Z</cp:lastPrinted>
  <dcterms:created xsi:type="dcterms:W3CDTF">2013-04-23T14:44:00Z</dcterms:created>
  <dcterms:modified xsi:type="dcterms:W3CDTF">2016-10-20T08:20:00Z</dcterms:modified>
</cp:coreProperties>
</file>